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zd0zeu2pbnrp"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rjdilv2q0c0o"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gjdgxs" w:id="2"/>
      <w:bookmarkEnd w:id="2"/>
      <w:r w:rsidDel="00000000" w:rsidR="00000000" w:rsidRPr="00000000">
        <w:rPr>
          <w:rtl w:val="0"/>
        </w:rPr>
      </w:r>
    </w:p>
    <w:p w:rsidR="00000000" w:rsidDel="00000000" w:rsidP="00000000" w:rsidRDefault="00000000" w:rsidRPr="00000000" w14:paraId="00000004">
      <w:pPr>
        <w:spacing w:before="240" w:lineRule="auto"/>
        <w:jc w:val="center"/>
        <w:rPr>
          <w:b w:val="1"/>
          <w:smallCaps w:val="1"/>
        </w:rPr>
      </w:pPr>
      <w:bookmarkStart w:colFirst="0" w:colLast="0" w:name="_heading=h.gjdgxs" w:id="2"/>
      <w:bookmarkEnd w:id="2"/>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0"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30j0zll" w:id="3"/>
      <w:bookmarkEnd w:id="3"/>
      <w:r w:rsidDel="00000000" w:rsidR="00000000" w:rsidRPr="00000000">
        <w:rPr>
          <w:b w:val="1"/>
          <w:smallCaps w:val="1"/>
          <w:color w:val="000000"/>
          <w:rtl w:val="0"/>
        </w:rPr>
        <w:t xml:space="preserve">CALL-OFF SCHEDULE 6 </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TUPE SURCHARGE</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tbl>
      <w:tblPr>
        <w:tblStyle w:val="Table1"/>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0"/>
        <w:gridCol w:w="4560"/>
        <w:tblGridChange w:id="0">
          <w:tblGrid>
            <w:gridCol w:w="4470"/>
            <w:gridCol w:w="4560"/>
          </w:tblGrid>
        </w:tblGridChange>
      </w:tblGrid>
      <w:tr>
        <w:trPr>
          <w:cantSplit w:val="0"/>
          <w:tblHeader w:val="0"/>
        </w:trPr>
        <w:tc>
          <w:tcPr>
            <w:gridSpan w:val="2"/>
          </w:tcPr>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IN THIS SCHEDULE, THE FOLLOWING WORDS SHALL HAVE THE FOLLOWING MEANINGS AND THEY SHALL SUPPLEMENT (I) JOINT SCHEDULE 1 (DEFINITIONS) AND (II) CALL –OFF SCHEDULE 2 (STAFF TRANSFER):</w:t>
            </w:r>
          </w:p>
        </w:tc>
      </w:tr>
      <w:tr>
        <w:trPr>
          <w:cantSplit w:val="0"/>
          <w:tblHeader w:val="0"/>
        </w:trPr>
        <w:tc>
          <w:tcPr/>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DEFINITION</w:t>
            </w:r>
          </w:p>
        </w:tc>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MEANING</w:t>
            </w:r>
          </w:p>
        </w:tc>
      </w:tr>
      <w:tr>
        <w:trPr>
          <w:cantSplit w:val="0"/>
          <w:tblHeader w:val="0"/>
        </w:trPr>
        <w:tc>
          <w:tcP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“Annual Pension Cost”</w:t>
            </w:r>
          </w:p>
        </w:tc>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“Direct Award TUPE Risk Premium”</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bookmarkStart w:colFirst="0" w:colLast="0" w:name="_heading=h.1fob9te" w:id="4"/>
            <w:bookmarkEnd w:id="4"/>
            <w:r w:rsidDel="00000000" w:rsidR="00000000" w:rsidRPr="00000000">
              <w:rPr>
                <w:color w:val="000000"/>
                <w:sz w:val="20"/>
                <w:szCs w:val="2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“Cost of Change”</w:t>
            </w:r>
          </w:p>
        </w:tc>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means any reasonable costs that will be incurred in managing the transition of a Transferring Former Supplier Employee, and will not be required to fulfil a role as part of the new contract, subject to the Supplier taking all reasonable steps to mitigate such costs.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w:t>
            </w:r>
          </w:p>
        </w:tc>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standard employer pension contributions paid in accordance with the relevant pension scheme rules and used in the calculation of the TUPE Risk Premium less any costs recoverable under paragraph 6 of Annex D3: LGPS of Part D Pensions of Schedule 2 Staff Transfer;</w:t>
            </w:r>
          </w:p>
        </w:tc>
      </w:tr>
      <w:tr>
        <w:trPr>
          <w:cantSplit w:val="0"/>
          <w:tblHeader w:val="0"/>
        </w:trPr>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 Cap"</w:t>
            </w:r>
          </w:p>
        </w:tc>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“Fixed Fee TUPE Risk Premium”</w:t>
            </w:r>
          </w:p>
        </w:tc>
        <w:tc>
          <w:tcP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on an annual basis based on the difference between:</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3 of Call Off Schedule 6 (TUPE Surcharge);</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"Further Competition TUPE Risk Premium"</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w:t>
            </w:r>
            <w:r w:rsidDel="00000000" w:rsidR="00000000" w:rsidRPr="00000000">
              <w:rPr>
                <w:rtl w:val="0"/>
              </w:rPr>
              <w:t xml:space="preserve">     </w:t>
            </w:r>
            <w:r w:rsidDel="00000000" w:rsidR="00000000" w:rsidRPr="00000000">
              <w:rPr>
                <w:color w:val="000000"/>
                <w:sz w:val="20"/>
                <w:szCs w:val="20"/>
                <w:rtl w:val="0"/>
              </w:rPr>
              <w:t xml:space="preserve">on an annual basis based on the difference between: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w:t>
            </w:r>
            <w:r w:rsidDel="00000000" w:rsidR="00000000" w:rsidRPr="00000000">
              <w:rPr>
                <w:rtl w:val="0"/>
              </w:rPr>
              <w:t xml:space="preserve">     </w:t>
            </w:r>
            <w:r w:rsidDel="00000000" w:rsidR="00000000" w:rsidRPr="00000000">
              <w:rPr>
                <w:color w:val="000000"/>
                <w:sz w:val="20"/>
                <w:szCs w:val="20"/>
                <w:rtl w:val="0"/>
              </w:rPr>
              <w:t xml:space="preserve">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"Other Pension Cost"</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means: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sz w:val="20"/>
                <w:szCs w:val="20"/>
              </w:rPr>
            </w:pPr>
            <w:r w:rsidDel="00000000" w:rsidR="00000000" w:rsidRPr="00000000">
              <w:rPr>
                <w:color w:val="000000"/>
                <w:sz w:val="20"/>
                <w:szCs w:val="20"/>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w:t>
            </w:r>
            <w:r w:rsidDel="00000000" w:rsidR="00000000" w:rsidRPr="00000000">
              <w:rPr>
                <w:sz w:val="20"/>
                <w:szCs w:val="20"/>
                <w:rtl w:val="0"/>
              </w:rPr>
              <w:t xml:space="preserve">agreed in writing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sz w:val="20"/>
                <w:szCs w:val="20"/>
              </w:rPr>
            </w:pPr>
            <w:r w:rsidDel="00000000" w:rsidR="00000000" w:rsidRPr="00000000">
              <w:rPr>
                <w:sz w:val="20"/>
                <w:szCs w:val="20"/>
                <w:rtl w:val="0"/>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paragraph 6 of Annex D3: LGPS of Part D Pensions of Schedule 2 Staff Transfer; and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d)    such other pension contributions, charges or costs incurred by the Supplier which have been </w:t>
            </w:r>
            <w:r w:rsidDel="00000000" w:rsidR="00000000" w:rsidRPr="00000000">
              <w:rPr>
                <w:color w:val="000000"/>
                <w:sz w:val="20"/>
                <w:szCs w:val="20"/>
                <w:rtl w:val="0"/>
              </w:rPr>
              <w:t xml:space="preserve">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"TUPE Count"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 w:val="left" w:leader="none" w:pos="-9"/>
              </w:tabs>
              <w:spacing w:after="120" w:lineRule="auto"/>
              <w:jc w:val="left"/>
              <w:rPr>
                <w:sz w:val="20"/>
                <w:szCs w:val="20"/>
              </w:rPr>
            </w:pPr>
            <w:r w:rsidDel="00000000" w:rsidR="00000000" w:rsidRPr="00000000">
              <w:rPr>
                <w:sz w:val="20"/>
                <w:szCs w:val="20"/>
                <w:rtl w:val="0"/>
              </w:rPr>
              <w:t xml:space="preserve">means the total number of:</w:t>
            </w:r>
          </w:p>
          <w:p w:rsidR="00000000" w:rsidDel="00000000" w:rsidP="00000000" w:rsidRDefault="00000000" w:rsidRPr="00000000" w14:paraId="00000043">
            <w:pPr>
              <w:numPr>
                <w:ilvl w:val="0"/>
                <w:numId w:val="3"/>
              </w:numPr>
              <w:pBdr>
                <w:top w:space="0" w:sz="0" w:val="nil"/>
                <w:left w:space="0" w:sz="0" w:val="nil"/>
                <w:bottom w:space="0" w:sz="0" w:val="nil"/>
                <w:right w:space="0" w:sz="0" w:val="nil"/>
                <w:between w:space="0" w:sz="0" w:val="nil"/>
              </w:pBdr>
              <w:tabs>
                <w:tab w:val="left" w:leader="none" w:pos="175"/>
                <w:tab w:val="left" w:leader="none" w:pos="-9"/>
              </w:tabs>
              <w:spacing w:after="0" w:afterAutospacing="0" w:lineRule="auto"/>
              <w:ind w:left="720" w:hanging="360"/>
              <w:jc w:val="left"/>
              <w:rPr>
                <w:sz w:val="20"/>
                <w:szCs w:val="20"/>
                <w:u w:val="none"/>
              </w:rPr>
            </w:pPr>
            <w:r w:rsidDel="00000000" w:rsidR="00000000" w:rsidRPr="00000000">
              <w:rPr>
                <w:sz w:val="20"/>
                <w:szCs w:val="20"/>
                <w:rtl w:val="0"/>
              </w:rPr>
              <w:t xml:space="preserve">Transferring Former Supplier Employees;</w:t>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tabs>
                <w:tab w:val="left" w:leader="none" w:pos="175"/>
                <w:tab w:val="left" w:leader="none" w:pos="-9"/>
              </w:tabs>
              <w:spacing w:after="0" w:afterAutospacing="0" w:lineRule="auto"/>
              <w:ind w:left="720" w:hanging="360"/>
              <w:jc w:val="left"/>
              <w:rPr>
                <w:sz w:val="20"/>
                <w:szCs w:val="20"/>
                <w:u w:val="none"/>
              </w:rPr>
            </w:pPr>
            <w:r w:rsidDel="00000000" w:rsidR="00000000" w:rsidRPr="00000000">
              <w:rPr>
                <w:sz w:val="20"/>
                <w:szCs w:val="20"/>
                <w:rtl w:val="0"/>
              </w:rPr>
              <w:t xml:space="preserve">where the Former Supplier becomes the Supplier the Former Supplier employees providing the Services at the Commencement Date; and/or </w:t>
            </w:r>
          </w:p>
          <w:p w:rsidR="00000000" w:rsidDel="00000000" w:rsidP="00000000" w:rsidRDefault="00000000" w:rsidRPr="00000000" w14:paraId="00000045">
            <w:pPr>
              <w:numPr>
                <w:ilvl w:val="0"/>
                <w:numId w:val="3"/>
              </w:numPr>
              <w:pBdr>
                <w:top w:space="0" w:sz="0" w:val="nil"/>
                <w:left w:space="0" w:sz="0" w:val="nil"/>
                <w:bottom w:space="0" w:sz="0" w:val="nil"/>
                <w:right w:space="0" w:sz="0" w:val="nil"/>
                <w:between w:space="0" w:sz="0" w:val="nil"/>
              </w:pBdr>
              <w:tabs>
                <w:tab w:val="left" w:leader="none" w:pos="175"/>
                <w:tab w:val="left" w:leader="none" w:pos="-9"/>
              </w:tabs>
              <w:spacing w:after="120" w:lineRule="auto"/>
              <w:ind w:left="720" w:hanging="360"/>
              <w:jc w:val="left"/>
              <w:rPr>
                <w:sz w:val="20"/>
                <w:szCs w:val="20"/>
                <w:u w:val="none"/>
              </w:rPr>
            </w:pPr>
            <w:r w:rsidDel="00000000" w:rsidR="00000000" w:rsidRPr="00000000">
              <w:rPr>
                <w:sz w:val="20"/>
                <w:szCs w:val="20"/>
                <w:rtl w:val="0"/>
              </w:rPr>
              <w:t xml:space="preserve">Transferring Buyer Employees identified in the employee liability information;</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 w:val="left" w:leader="none" w:pos="-9"/>
              </w:tabs>
              <w:spacing w:after="120" w:lineRule="auto"/>
              <w:jc w:val="left"/>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ind w:left="72" w:firstLine="0"/>
              <w:jc w:val="center"/>
              <w:rPr>
                <w:b w:val="1"/>
                <w:color w:val="000000"/>
                <w:sz w:val="20"/>
                <w:szCs w:val="20"/>
              </w:rPr>
            </w:pPr>
            <w:r w:rsidDel="00000000" w:rsidR="00000000" w:rsidRPr="00000000">
              <w:rPr>
                <w:b w:val="1"/>
                <w:color w:val="000000"/>
                <w:sz w:val="20"/>
                <w:szCs w:val="20"/>
                <w:rtl w:val="0"/>
              </w:rPr>
              <w:t xml:space="preserve">"TUPE Risk Premium"</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either the:</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Direct Award TUPE Risk Premium;</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Further Competition TUPE Risk Premium; or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c)</w:t>
              <w:tab/>
              <w:t xml:space="preserve">Fixed Fee TUPE Risk Premium,</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as the context requires;</w:t>
            </w:r>
          </w:p>
        </w:tc>
      </w:tr>
      <w:tr>
        <w:trPr>
          <w:cantSplit w:val="0"/>
          <w:tblHeader w:val="0"/>
        </w:trPr>
        <w:tc>
          <w:tcPr>
            <w:vAlign w:val="center"/>
          </w:tcPr>
          <w:p w:rsidR="00000000" w:rsidDel="00000000" w:rsidP="00000000" w:rsidRDefault="00000000" w:rsidRPr="00000000" w14:paraId="0000004D">
            <w:pPr>
              <w:ind w:left="72" w:firstLine="0"/>
              <w:jc w:val="center"/>
              <w:rPr>
                <w:b w:val="1"/>
                <w:color w:val="000000"/>
                <w:sz w:val="20"/>
                <w:szCs w:val="20"/>
              </w:rPr>
            </w:pPr>
            <w:r w:rsidDel="00000000" w:rsidR="00000000" w:rsidRPr="00000000">
              <w:rPr>
                <w:b w:val="1"/>
                <w:color w:val="000000"/>
                <w:sz w:val="20"/>
                <w:szCs w:val="20"/>
                <w:rtl w:val="0"/>
              </w:rPr>
              <w:t xml:space="preserve">"TUPE Risk Premium Average"</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the average</w:t>
            </w:r>
            <w:r w:rsidDel="00000000" w:rsidR="00000000" w:rsidRPr="00000000">
              <w:rPr>
                <w:rtl w:val="0"/>
              </w:rPr>
              <w:t xml:space="preserve">     </w:t>
            </w:r>
            <w:r w:rsidDel="00000000" w:rsidR="00000000" w:rsidRPr="00000000">
              <w:rPr>
                <w:color w:val="000000"/>
                <w:sz w:val="20"/>
                <w:szCs w:val="20"/>
                <w:rtl w:val="0"/>
              </w:rPr>
              <w:t xml:space="preserve"> calculated by dividing the Further Competition TUPE Risk Premium by the lower of either: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Labour Count; or</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the TUPE Count.</w:t>
            </w:r>
          </w:p>
        </w:tc>
      </w:tr>
    </w:tbl>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rtl w:val="0"/>
        </w:rPr>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3znysh7" w:id="5"/>
      <w:bookmarkEnd w:id="5"/>
      <w:r w:rsidDel="00000000" w:rsidR="00000000" w:rsidRPr="00000000">
        <w:rPr>
          <w:b w:val="1"/>
          <w:color w:val="000000"/>
          <w:rtl w:val="0"/>
        </w:rPr>
        <w:t xml:space="preserve">OPTION 1 – DIRECT AWARD – TUPE RISK PREMIUM</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be as set out in Annex 1 - Framework Schedule 3 (Framework Prices). </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apply for the Call Off Contract Period and no changes shall be permitted except as set out in paragraph 4 of this Schedule 6 (TUPE Surcharge).</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2et92p0" w:id="6"/>
      <w:bookmarkEnd w:id="6"/>
      <w:r w:rsidDel="00000000" w:rsidR="00000000" w:rsidRPr="00000000">
        <w:rPr>
          <w:b w:val="1"/>
          <w:color w:val="000000"/>
          <w:rtl w:val="0"/>
        </w:rPr>
        <w:t xml:space="preserve">OPTION 2 - FURTHER COMPETITION TUPE RISK PREMIUM</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Further Competition TUPE Risk Premium shall be priced for at Further Competition as set out in Annex 1 - Call Off Schedule 5 (Call-Off Pricing).</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notice that no adjustment is required and the Further Competition TUPE Risk Premium submitted at Call-Off Tender will be used.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or</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color w:val="000000"/>
        </w:rPr>
      </w:pP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Further Competition TUPE Risk Premium, when Post Award Adjustment</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tyjcwt" w:id="7"/>
      <w:bookmarkEnd w:id="7"/>
      <w:r w:rsidDel="00000000" w:rsidR="00000000" w:rsidRPr="00000000">
        <w:rPr>
          <w:color w:val="000000"/>
          <w:rtl w:val="0"/>
        </w:rPr>
        <w:t xml:space="preserve">Within 20 Working Days after the Relevant Transfer Date, the Supplier may request a Further Competition TUPE Risk Premium adjustment, and the Buyer may grant the request, if:</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F">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TUPE Count; and or</w:t>
      </w:r>
    </w:p>
    <w:p w:rsidR="00000000" w:rsidDel="00000000" w:rsidP="00000000" w:rsidRDefault="00000000" w:rsidRPr="00000000" w14:paraId="00000060">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any costs covered by the Further Competition TUPE Risk Premium,</w:t>
      </w:r>
    </w:p>
    <w:p w:rsidR="00000000" w:rsidDel="00000000" w:rsidP="00000000" w:rsidRDefault="00000000" w:rsidRPr="00000000" w14:paraId="0000006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rtl w:val="0"/>
        </w:rPr>
        <w:t xml:space="preserve">     </w:t>
      </w:r>
      <w:r w:rsidDel="00000000" w:rsidR="00000000" w:rsidRPr="00000000">
        <w:rPr>
          <w:color w:val="000000"/>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agreement of the Further Competition TUPE Risk Premium the Further Competition TUPE Risk Premium Average shall be calculated and this will be used as the basis for the</w:t>
      </w:r>
      <w:r w:rsidDel="00000000" w:rsidR="00000000" w:rsidRPr="00000000">
        <w:rPr>
          <w:rtl w:val="0"/>
        </w:rPr>
        <w:t xml:space="preserve">     </w:t>
      </w:r>
      <w:r w:rsidDel="00000000" w:rsidR="00000000" w:rsidRPr="00000000">
        <w:rPr>
          <w:color w:val="000000"/>
          <w:rtl w:val="0"/>
        </w:rPr>
        <w:t xml:space="preserve"> annual  review of the Further Competition TUPE Risk Premium.</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b w:val="1"/>
          <w:color w:val="000000"/>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Further Competition TUPE Risk Premium shall be reviewed by the Buyer at the commencement of each Contract Year.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3dy6vkm" w:id="8"/>
      <w:bookmarkEnd w:id="8"/>
      <w:r w:rsidDel="00000000" w:rsidR="00000000" w:rsidRPr="00000000">
        <w:rPr>
          <w:color w:val="000000"/>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Difference in TUPE Count (Previous Contract Year less current Contract Year) x TUPE Risk Premium Average.</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in the provision of services under </w:t>
      </w:r>
      <w:r w:rsidDel="00000000" w:rsidR="00000000" w:rsidRPr="00000000">
        <w:rPr>
          <w:rtl w:val="0"/>
        </w:rPr>
        <w:t xml:space="preserve">     </w:t>
      </w:r>
      <w:r w:rsidDel="00000000" w:rsidR="00000000" w:rsidRPr="00000000">
        <w:rPr>
          <w:color w:val="000000"/>
          <w:rtl w:val="0"/>
        </w:rPr>
        <w:t xml:space="preserve">this Contract (whichever occurs the earliest).</w:t>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517" w:hanging="720"/>
        <w:rPr>
          <w:color w:val="000000"/>
        </w:rPr>
      </w:pPr>
      <w:r w:rsidDel="00000000" w:rsidR="00000000" w:rsidRPr="00000000">
        <w:rPr>
          <w:color w:val="000000"/>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adjusted Further Competition TUPE Risk Premium; or </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adjusted Further Competition TUPE Risk Premium is more than the Further Competition TUPE Risk Premium in the previous Contract Year, the Further Competition TUPE Risk Premium shall not be adjusted.</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reserves the right to review and audit the calculation of the Further Competition TUPE Risk Premium at any time. </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1t3h5sf" w:id="9"/>
      <w:bookmarkEnd w:id="9"/>
      <w:r w:rsidDel="00000000" w:rsidR="00000000" w:rsidRPr="00000000">
        <w:rPr>
          <w:b w:val="1"/>
          <w:color w:val="000000"/>
          <w:rtl w:val="0"/>
        </w:rPr>
        <w:t xml:space="preserve">OPTION 3 – FURTHER COMPETITION - FIXED FEE TUPE RISK PREMIUM</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The Fixed Fee TUPE Risk Premium shall be priced for at Further Competition as set out in Annex 1 - Call Off Schedule 5 (Call-Off Pricing) and no further adjustments shall be permitted except as set out in paragraph 4 of this Schedule 6 (TUPE Surcharge).</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r w:rsidDel="00000000" w:rsidR="00000000" w:rsidRPr="00000000">
        <w:rPr>
          <w:b w:val="1"/>
          <w:color w:val="000000"/>
          <w:rtl w:val="0"/>
        </w:rPr>
        <w:t xml:space="preserve">EMPLOYER PENSIONS CONTRIBUTION CAP &amp; OTHER PENSION COST</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For all options detailed at paragraphs 1, 2 and 3 above the following shall apply.</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rtl w:val="0"/>
        </w:rPr>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pension adjustment in accordance with the provisions of paragraph 4.1.1. above to the TUPE Risk Premium they must provide sufficient evidence to the Buyer to justify the pension adjustment.</w:t>
      </w:r>
    </w:p>
    <w:p w:rsidR="00000000" w:rsidDel="00000000" w:rsidP="00000000" w:rsidRDefault="00000000" w:rsidRPr="00000000" w14:paraId="00000083">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pension adjustment the Buyer shall either:</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pension adjustment; </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87">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8">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9">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A">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ind w:left="502" w:hanging="360"/>
        <w:rPr>
          <w:b w:val="1"/>
          <w:color w:val="000000"/>
        </w:rPr>
      </w:pPr>
      <w:r w:rsidDel="00000000" w:rsidR="00000000" w:rsidRPr="00000000">
        <w:rPr>
          <w:b w:val="1"/>
          <w:color w:val="000000"/>
          <w:rtl w:val="0"/>
        </w:rPr>
        <w:t xml:space="preserve">COST OF CHANGE</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1 - Direct Award TUPE Risk Premium. </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Cost of Change.</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2 – Further Competition TUPE Risk Premium.</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90">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post award adjustment the Buyer shall either:</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Cost of Change adjustments, or</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9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94">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rPr>
      </w:pPr>
      <w:r w:rsidDel="00000000" w:rsidR="00000000" w:rsidRPr="00000000">
        <w:rPr>
          <w:color w:val="000000"/>
          <w:rtl w:val="0"/>
        </w:rPr>
        <w:t xml:space="preserve">Following a request in accordance with 1.2.2 (b) or (c) above, the Buyer shall notify the Supplier if the Cost of Change adjustment is accepted or not (such decision being entirely at the Buyer’s discretion).</w:t>
      </w: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3 – Further Competition Fixed Fee TUPE Risk Premium</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post award adjustment to Cost of Change.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rtl w:val="0"/>
        </w:rPr>
      </w:r>
    </w:p>
    <w:p w:rsidR="00000000" w:rsidDel="00000000" w:rsidP="00000000" w:rsidRDefault="00000000" w:rsidRPr="00000000" w14:paraId="00000098">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sz w:val="16"/>
        <w:szCs w:val="16"/>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Ref: RM3830 (Model V3.0)</w:t>
      <w:tab/>
      <w:t xml:space="preserve">Crown Copyright 2022</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Rule="auto"/>
      <w:jc w:val="left"/>
      <w:rPr>
        <w:b w:val="1"/>
      </w:rPr>
    </w:pPr>
    <w:r w:rsidDel="00000000" w:rsidR="00000000" w:rsidRPr="00000000">
      <w:rPr>
        <w:b w:val="1"/>
      </w:rPr>
      <w:drawing>
        <wp:anchor allowOverlap="1" behindDoc="0" distB="114300" distT="114300" distL="114300" distR="114300" hidden="0" layoutInCell="1" locked="0" relativeHeight="0" simplePos="0">
          <wp:simplePos x="0" y="0"/>
          <wp:positionH relativeFrom="page">
            <wp:posOffset>6391275</wp:posOffset>
          </wp:positionH>
          <wp:positionV relativeFrom="page">
            <wp:posOffset>116205</wp:posOffset>
          </wp:positionV>
          <wp:extent cx="1004888" cy="837406"/>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r w:rsidDel="00000000" w:rsidR="00000000" w:rsidRPr="00000000">
      <w:rPr>
        <w:b w:val="1"/>
        <w:rtl w:val="0"/>
      </w:rPr>
      <w:t xml:space="preserve">Customer Comfort &amp; Safety (Provision of Hard FM Services) South &amp; London</w:t>
    </w:r>
  </w:p>
  <w:p w:rsidR="00000000" w:rsidDel="00000000" w:rsidP="00000000" w:rsidRDefault="00000000" w:rsidRPr="00000000" w14:paraId="0000009A">
    <w:pPr>
      <w:tabs>
        <w:tab w:val="center" w:leader="none" w:pos="4513"/>
        <w:tab w:val="right" w:leader="none" w:pos="9026"/>
      </w:tabs>
      <w:spacing w:after="0" w:lineRule="auto"/>
      <w:jc w:val="left"/>
      <w:rPr/>
    </w:pPr>
    <w:r w:rsidDel="00000000" w:rsidR="00000000" w:rsidRPr="00000000">
      <w:rPr>
        <w:b w:val="1"/>
        <w:rtl w:val="0"/>
      </w:rPr>
      <w:t xml:space="preserve">Call-Off Schedule 6 (TUPE Surcharge)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lvl>
    <w:lvl w:ilvl="1">
      <w:start w:val="1"/>
      <w:numFmt w:val="decimal"/>
      <w:lvlText w:val="%1.%2."/>
      <w:lvlJc w:val="left"/>
      <w:pPr>
        <w:ind w:left="1078" w:hanging="579"/>
      </w:pPr>
      <w:rPr>
        <w:rFonts w:ascii="Calibri" w:cs="Calibri" w:eastAsia="Calibri" w:hAnsi="Calibri"/>
        <w:b w:val="0"/>
      </w:rPr>
    </w:lvl>
    <w:lvl w:ilvl="2">
      <w:start w:val="1"/>
      <w:numFmt w:val="decimal"/>
      <w:lvlText w:val="%1.%2.%3."/>
      <w:lvlJc w:val="left"/>
      <w:pPr>
        <w:ind w:left="1798" w:hanging="720"/>
      </w:pPr>
      <w:rPr>
        <w:rFonts w:ascii="Calibri" w:cs="Calibri" w:eastAsia="Calibri" w:hAnsi="Calibri"/>
        <w:b w:val="0"/>
      </w:rPr>
    </w:lvl>
    <w:lvl w:ilvl="3">
      <w:start w:val="1"/>
      <w:numFmt w:val="lowerLetter"/>
      <w:lvlText w:val="(%4)"/>
      <w:lvlJc w:val="left"/>
      <w:pPr>
        <w:ind w:left="2733" w:hanging="935"/>
      </w:pPr>
      <w:rPr>
        <w:rFonts w:ascii="Calibri" w:cs="Calibri" w:eastAsia="Calibri" w:hAnsi="Calibri"/>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abstractNum w:abstractNumId="2">
    <w:lvl w:ilvl="0">
      <w:start w:val="4"/>
      <w:numFmt w:val="decimal"/>
      <w:lvlText w:val="%1."/>
      <w:lvlJc w:val="left"/>
      <w:pPr>
        <w:ind w:left="502" w:hanging="360"/>
      </w:pPr>
      <w:rPr>
        <w:color w:val="000000"/>
        <w:u w:val="single"/>
      </w:rPr>
    </w:lvl>
    <w:lvl w:ilvl="1">
      <w:start w:val="1"/>
      <w:numFmt w:val="decimal"/>
      <w:lvlText w:val="%1.%2."/>
      <w:lvlJc w:val="left"/>
      <w:pPr>
        <w:ind w:left="1078" w:hanging="579"/>
      </w:pPr>
      <w:rPr>
        <w:rFonts w:ascii="Calibri" w:cs="Calibri" w:eastAsia="Calibri" w:hAnsi="Calibri"/>
        <w:b w:val="0"/>
        <w:color w:val="000000"/>
        <w:u w:val="single"/>
      </w:rPr>
    </w:lvl>
    <w:lvl w:ilvl="2">
      <w:start w:val="1"/>
      <w:numFmt w:val="decimal"/>
      <w:lvlText w:val="%1.%2.%3."/>
      <w:lvlJc w:val="left"/>
      <w:pPr>
        <w:ind w:left="1798" w:hanging="720"/>
      </w:pPr>
      <w:rPr>
        <w:rFonts w:ascii="Calibri" w:cs="Calibri" w:eastAsia="Calibri" w:hAnsi="Calibri"/>
        <w:b w:val="0"/>
        <w:color w:val="000000"/>
        <w:u w:val="none"/>
      </w:rPr>
    </w:lvl>
    <w:lvl w:ilvl="3">
      <w:start w:val="1"/>
      <w:numFmt w:val="lowerLetter"/>
      <w:lvlText w:val="(%4)"/>
      <w:lvlJc w:val="left"/>
      <w:pPr>
        <w:ind w:left="2733" w:hanging="935"/>
      </w:pPr>
      <w:rPr>
        <w:rFonts w:ascii="Calibri" w:cs="Calibri" w:eastAsia="Calibri" w:hAnsi="Calibri"/>
        <w:b w:val="0"/>
        <w:color w:val="000000"/>
        <w:u w:val="singl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2"/>
      <w:numFmt w:val="decimal"/>
      <w:lvlText w:val="%1"/>
      <w:lvlJc w:val="left"/>
      <w:pPr>
        <w:ind w:left="600" w:hanging="600"/>
      </w:pPr>
      <w:rPr/>
    </w:lvl>
    <w:lvl w:ilvl="1">
      <w:start w:val="3"/>
      <w:numFmt w:val="decimal"/>
      <w:lvlText w:val="%1.%2"/>
      <w:lvlJc w:val="left"/>
      <w:pPr>
        <w:ind w:left="1199" w:hanging="600"/>
      </w:pPr>
      <w:rPr/>
    </w:lvl>
    <w:lvl w:ilvl="2">
      <w:start w:val="4"/>
      <w:numFmt w:val="decimal"/>
      <w:lvlText w:val="%1.%2.%3"/>
      <w:lvlJc w:val="left"/>
      <w:pPr>
        <w:ind w:left="1918" w:hanging="720"/>
      </w:pPr>
      <w:rPr/>
    </w:lvl>
    <w:lvl w:ilvl="3">
      <w:start w:val="1"/>
      <w:numFmt w:val="decimal"/>
      <w:lvlText w:val="%1.%2.%3.%4"/>
      <w:lvlJc w:val="left"/>
      <w:pPr>
        <w:ind w:left="2517" w:hanging="720"/>
      </w:pPr>
      <w:rPr/>
    </w:lvl>
    <w:lvl w:ilvl="4">
      <w:start w:val="1"/>
      <w:numFmt w:val="decimal"/>
      <w:lvlText w:val="%1.%2.%3.%4.%5"/>
      <w:lvlJc w:val="left"/>
      <w:pPr>
        <w:ind w:left="3476" w:hanging="1080"/>
      </w:pPr>
      <w:rPr/>
    </w:lvl>
    <w:lvl w:ilvl="5">
      <w:start w:val="1"/>
      <w:numFmt w:val="decimal"/>
      <w:lvlText w:val="%1.%2.%3.%4.%5.%6"/>
      <w:lvlJc w:val="left"/>
      <w:pPr>
        <w:ind w:left="4075" w:hanging="1080"/>
      </w:pPr>
      <w:rPr/>
    </w:lvl>
    <w:lvl w:ilvl="6">
      <w:start w:val="1"/>
      <w:numFmt w:val="decimal"/>
      <w:lvlText w:val="%1.%2.%3.%4.%5.%6.%7"/>
      <w:lvlJc w:val="left"/>
      <w:pPr>
        <w:ind w:left="5034" w:hanging="1440"/>
      </w:pPr>
      <w:rPr/>
    </w:lvl>
    <w:lvl w:ilvl="7">
      <w:start w:val="1"/>
      <w:numFmt w:val="decimal"/>
      <w:lvlText w:val="%1.%2.%3.%4.%5.%6.%7.%8"/>
      <w:lvlJc w:val="left"/>
      <w:pPr>
        <w:ind w:left="5633" w:hanging="1440"/>
      </w:pPr>
      <w:rPr/>
    </w:lvl>
    <w:lvl w:ilvl="8">
      <w:start w:val="1"/>
      <w:numFmt w:val="decimal"/>
      <w:lvlText w:val="%1.%2.%3.%4.%5.%6.%7.%8.%9"/>
      <w:lvlJc w:val="left"/>
      <w:pPr>
        <w:ind w:left="6232"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5"/>
      </w:numPr>
      <w:tabs>
        <w:tab w:val="left" w:pos="1134"/>
      </w:tabs>
      <w:spacing w:after="120" w:before="120"/>
    </w:pPr>
  </w:style>
  <w:style w:type="paragraph" w:styleId="GPSL3numberedclause" w:customStyle="1">
    <w:name w:val="GPS L3 numbered clause"/>
    <w:basedOn w:val="Normal"/>
    <w:qFormat w:val="1"/>
    <w:pPr>
      <w:numPr>
        <w:ilvl w:val="2"/>
        <w:numId w:val="5"/>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rCFpLGOtCk9iaFME6Sn9N/DRvA==">CgMxLjAyDmguemQwemV1MnBibnJwMg5oLnJqZGlsdjJxMGMwbzIIaC5namRneHMyCGguZ2pkZ3hzMgloLjMwajB6bGwyCWguMWZvYjl0ZTIJaC4zem55c2g3MgloLjJldDkycDAyCGgudHlqY3d0MgloLjNkeTZ2a20yCWguMXQzaDVzZjgAciExaXd0eVNJMVpJbW9YbmUyLUZSOTlxYlEtMjNPNFpRako=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2022-09-23T00:02:00Z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